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2" w:rsidRDefault="007E2B32" w:rsidP="007E2B32">
      <w:pPr>
        <w:rPr>
          <w:caps/>
          <w:sz w:val="32"/>
        </w:rPr>
      </w:pPr>
      <w:r>
        <w:rPr>
          <w:caps/>
          <w:sz w:val="32"/>
          <w:lang w:val="ru-RU"/>
        </w:rPr>
        <w:t xml:space="preserve">                                                           </w:t>
      </w:r>
      <w:r w:rsidR="0096247C">
        <w:rPr>
          <w:caps/>
          <w:sz w:val="32"/>
          <w:lang w:val="ru-RU"/>
        </w:rPr>
        <w:t xml:space="preserve">         </w:t>
      </w:r>
      <w:r>
        <w:rPr>
          <w:caps/>
          <w:sz w:val="32"/>
          <w:lang w:val="ru-RU"/>
        </w:rPr>
        <w:t xml:space="preserve"> </w:t>
      </w:r>
      <w:r>
        <w:rPr>
          <w:b/>
          <w:caps/>
          <w:sz w:val="32"/>
        </w:rPr>
        <w:t>ЗАТВЕРДЖЕНО</w:t>
      </w:r>
    </w:p>
    <w:p w:rsidR="00C03493" w:rsidRDefault="007E2B32" w:rsidP="005C0CCF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  <w:t xml:space="preserve">       Р</w:t>
      </w:r>
      <w:r w:rsidR="005C0CCF">
        <w:rPr>
          <w:sz w:val="28"/>
          <w:szCs w:val="28"/>
        </w:rPr>
        <w:t xml:space="preserve">ішення </w:t>
      </w:r>
      <w:proofErr w:type="spellStart"/>
      <w:r w:rsidR="005C0CCF">
        <w:rPr>
          <w:sz w:val="28"/>
          <w:szCs w:val="28"/>
          <w:lang w:val="ru-RU"/>
        </w:rPr>
        <w:t>міської</w:t>
      </w:r>
      <w:proofErr w:type="spellEnd"/>
      <w:r w:rsidR="005C0CCF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C0C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5C0CCF">
        <w:rPr>
          <w:sz w:val="28"/>
          <w:szCs w:val="28"/>
        </w:rPr>
        <w:t>(</w:t>
      </w:r>
      <w:proofErr w:type="spellStart"/>
      <w:r w:rsidR="005C0CCF">
        <w:rPr>
          <w:sz w:val="28"/>
          <w:szCs w:val="28"/>
        </w:rPr>
        <w:t>_____сесія</w:t>
      </w:r>
      <w:proofErr w:type="spellEnd"/>
      <w:r w:rsidR="005C0CCF">
        <w:rPr>
          <w:sz w:val="28"/>
          <w:szCs w:val="28"/>
        </w:rPr>
        <w:t xml:space="preserve"> восьмого скликання)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AE554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C03493">
        <w:rPr>
          <w:sz w:val="28"/>
          <w:szCs w:val="28"/>
          <w:lang w:val="ru-RU"/>
        </w:rPr>
        <w:t xml:space="preserve">   ___ _________2022року №___</w:t>
      </w:r>
      <w:r>
        <w:rPr>
          <w:sz w:val="28"/>
          <w:szCs w:val="28"/>
          <w:lang w:val="ru-RU"/>
        </w:rPr>
        <w:t xml:space="preserve">   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6A61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C034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____________Р.О.ГОГОЛЬ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</w:p>
    <w:p w:rsidR="007E2B32" w:rsidRPr="005C0CCF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B32" w:rsidRDefault="007E2B32" w:rsidP="007E2B32">
      <w:pPr>
        <w:tabs>
          <w:tab w:val="left" w:pos="3119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32"/>
          <w:szCs w:val="32"/>
        </w:rPr>
      </w:pPr>
    </w:p>
    <w:p w:rsidR="007E2B32" w:rsidRDefault="007E2B32" w:rsidP="007E2B32">
      <w:pPr>
        <w:tabs>
          <w:tab w:val="left" w:pos="1460"/>
        </w:tabs>
        <w:rPr>
          <w:sz w:val="88"/>
          <w:szCs w:val="88"/>
        </w:rPr>
      </w:pPr>
      <w:r>
        <w:rPr>
          <w:sz w:val="88"/>
          <w:szCs w:val="88"/>
        </w:rPr>
        <w:t>Міська  цільова Програма</w:t>
      </w:r>
    </w:p>
    <w:p w:rsidR="007E2B32" w:rsidRDefault="007E2B32" w:rsidP="007E2B32">
      <w:pPr>
        <w:tabs>
          <w:tab w:val="left" w:pos="1460"/>
        </w:tabs>
        <w:rPr>
          <w:sz w:val="88"/>
          <w:szCs w:val="88"/>
        </w:rPr>
      </w:pP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 xml:space="preserve">«Компенсація </w:t>
      </w:r>
      <w:r>
        <w:rPr>
          <w:sz w:val="72"/>
          <w:szCs w:val="72"/>
        </w:rPr>
        <w:tab/>
        <w:t xml:space="preserve">фізичним особам, які надають соціальні послуги на </w:t>
      </w:r>
      <w:r w:rsidR="006B33B0">
        <w:rPr>
          <w:sz w:val="72"/>
          <w:szCs w:val="72"/>
        </w:rPr>
        <w:t xml:space="preserve">непрофесійній основі на </w:t>
      </w:r>
      <w:r>
        <w:rPr>
          <w:sz w:val="72"/>
          <w:szCs w:val="72"/>
        </w:rPr>
        <w:t>20</w:t>
      </w:r>
      <w:r w:rsidR="006B33B0">
        <w:rPr>
          <w:sz w:val="72"/>
          <w:szCs w:val="72"/>
          <w:lang w:val="ru-RU"/>
        </w:rPr>
        <w:t>23</w:t>
      </w:r>
      <w:r>
        <w:rPr>
          <w:sz w:val="72"/>
          <w:szCs w:val="72"/>
        </w:rPr>
        <w:t>-20</w:t>
      </w:r>
      <w:r w:rsidR="006B33B0">
        <w:rPr>
          <w:sz w:val="72"/>
          <w:szCs w:val="72"/>
          <w:lang w:val="ru-RU"/>
        </w:rPr>
        <w:t>25</w:t>
      </w:r>
      <w:r>
        <w:rPr>
          <w:sz w:val="72"/>
          <w:szCs w:val="72"/>
        </w:rPr>
        <w:t xml:space="preserve"> роки»</w:t>
      </w:r>
    </w:p>
    <w:p w:rsidR="007E2B32" w:rsidRPr="001221E7" w:rsidRDefault="00711F16" w:rsidP="007E2B32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>(</w:t>
      </w:r>
      <w:proofErr w:type="spellStart"/>
      <w:r>
        <w:rPr>
          <w:sz w:val="72"/>
          <w:szCs w:val="72"/>
        </w:rPr>
        <w:t>проєкт</w:t>
      </w:r>
      <w:proofErr w:type="spellEnd"/>
      <w:r>
        <w:rPr>
          <w:sz w:val="72"/>
          <w:szCs w:val="72"/>
        </w:rPr>
        <w:t>)</w:t>
      </w: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Pr="00EA2A5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№____</w:t>
      </w: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CE3529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Зміст міської цільової Програми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«Компенсація фізичним особам, які надають соціальні послуги на </w:t>
      </w:r>
      <w:r w:rsidR="00E2486C">
        <w:rPr>
          <w:sz w:val="36"/>
          <w:szCs w:val="36"/>
        </w:rPr>
        <w:t xml:space="preserve">непрофесійній основі на </w:t>
      </w:r>
      <w:r>
        <w:rPr>
          <w:sz w:val="36"/>
          <w:szCs w:val="36"/>
        </w:rPr>
        <w:t>20</w:t>
      </w:r>
      <w:r w:rsidR="00E2486C">
        <w:rPr>
          <w:sz w:val="36"/>
          <w:szCs w:val="36"/>
        </w:rPr>
        <w:t>23</w:t>
      </w:r>
      <w:r>
        <w:rPr>
          <w:sz w:val="36"/>
          <w:szCs w:val="36"/>
        </w:rPr>
        <w:t>-20</w:t>
      </w:r>
      <w:r w:rsidR="00E2486C">
        <w:rPr>
          <w:sz w:val="36"/>
          <w:szCs w:val="36"/>
        </w:rPr>
        <w:t>25</w:t>
      </w:r>
      <w:r>
        <w:rPr>
          <w:sz w:val="36"/>
          <w:szCs w:val="36"/>
        </w:rPr>
        <w:t xml:space="preserve"> роки»</w:t>
      </w:r>
      <w:r w:rsidRPr="00962606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стор.  </w:t>
      </w:r>
    </w:p>
    <w:p w:rsidR="007E2B32" w:rsidRDefault="007E2B32" w:rsidP="007E2B32">
      <w:pPr>
        <w:tabs>
          <w:tab w:val="left" w:pos="1460"/>
        </w:tabs>
        <w:jc w:val="right"/>
        <w:rPr>
          <w:sz w:val="36"/>
          <w:szCs w:val="36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Паспорт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_____________________________________ 3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проблеми, на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розв’язання якої спрямована Програма______________________________________________ 4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мети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______________________________ 5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Обґрунтування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шляхів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засобів розв’язання проблеми, обсягів та джерел фінансування     _________________________________ 5,6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Строки та етапи виконання Програми_____________________  6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Перелік завдань Програми та результативні показники ______  </w:t>
      </w:r>
      <w:r w:rsidRPr="0080624E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>Напрями діяльності та заходи Програми__________________</w:t>
      </w:r>
      <w:r>
        <w:rPr>
          <w:sz w:val="32"/>
          <w:szCs w:val="32"/>
          <w:lang w:val="ru-RU"/>
        </w:rPr>
        <w:t>8,9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Координація</w:t>
      </w:r>
      <w:r>
        <w:rPr>
          <w:sz w:val="32"/>
          <w:szCs w:val="32"/>
          <w:lang w:val="ru-RU"/>
        </w:rPr>
        <w:t xml:space="preserve"> та контроль за ходом </w:t>
      </w:r>
      <w:r>
        <w:rPr>
          <w:sz w:val="32"/>
          <w:szCs w:val="32"/>
        </w:rPr>
        <w:t>виконання</w:t>
      </w:r>
      <w:r>
        <w:rPr>
          <w:sz w:val="32"/>
          <w:szCs w:val="32"/>
          <w:lang w:val="ru-RU"/>
        </w:rPr>
        <w:t xml:space="preserve">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 ____10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Паспорт 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міської цільової Програми «Компенсація фізичним особам, які надають соціальні послуги на </w:t>
      </w:r>
      <w:r w:rsidR="00E2486C">
        <w:rPr>
          <w:sz w:val="36"/>
          <w:szCs w:val="36"/>
        </w:rPr>
        <w:t xml:space="preserve">непрофесійній основі на </w:t>
      </w:r>
      <w:r>
        <w:rPr>
          <w:sz w:val="36"/>
          <w:szCs w:val="36"/>
        </w:rPr>
        <w:t>20</w:t>
      </w:r>
      <w:r w:rsidR="00E2486C">
        <w:rPr>
          <w:sz w:val="36"/>
          <w:szCs w:val="36"/>
          <w:lang w:val="ru-RU"/>
        </w:rPr>
        <w:t>23</w:t>
      </w:r>
      <w:r>
        <w:rPr>
          <w:sz w:val="36"/>
          <w:szCs w:val="36"/>
        </w:rPr>
        <w:t>-20</w:t>
      </w:r>
      <w:r w:rsidR="00E2486C">
        <w:rPr>
          <w:sz w:val="36"/>
          <w:szCs w:val="36"/>
          <w:lang w:val="ru-RU"/>
        </w:rPr>
        <w:t>25</w:t>
      </w:r>
      <w:r>
        <w:rPr>
          <w:sz w:val="36"/>
          <w:szCs w:val="36"/>
        </w:rPr>
        <w:t xml:space="preserve"> роки»</w:t>
      </w:r>
      <w:r w:rsidRPr="00000EFD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Прилуцької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</w:t>
            </w:r>
            <w:r w:rsidR="0008325C">
              <w:rPr>
                <w:sz w:val="28"/>
                <w:szCs w:val="28"/>
              </w:rPr>
              <w:t xml:space="preserve">рядження міського голови  від 15.11.2022 року № 210р «Про розроблення </w:t>
            </w:r>
            <w:proofErr w:type="spellStart"/>
            <w:r w:rsidR="0008325C">
              <w:rPr>
                <w:sz w:val="28"/>
                <w:szCs w:val="28"/>
              </w:rPr>
              <w:t>проє</w:t>
            </w:r>
            <w:r>
              <w:rPr>
                <w:sz w:val="28"/>
                <w:szCs w:val="28"/>
              </w:rPr>
              <w:t>кту</w:t>
            </w:r>
            <w:proofErr w:type="spellEnd"/>
            <w:r>
              <w:rPr>
                <w:sz w:val="28"/>
                <w:szCs w:val="28"/>
              </w:rPr>
              <w:t xml:space="preserve"> міської цільової Програми </w:t>
            </w:r>
            <w:proofErr w:type="spellStart"/>
            <w:r>
              <w:rPr>
                <w:sz w:val="28"/>
                <w:szCs w:val="28"/>
              </w:rPr>
              <w:t>“Компенсація</w:t>
            </w:r>
            <w:proofErr w:type="spellEnd"/>
            <w:r>
              <w:rPr>
                <w:sz w:val="28"/>
                <w:szCs w:val="28"/>
              </w:rPr>
              <w:t xml:space="preserve"> фізичним особам, які надають соціальні послуги на </w:t>
            </w:r>
            <w:r w:rsidR="00E2486C">
              <w:rPr>
                <w:sz w:val="28"/>
                <w:szCs w:val="28"/>
              </w:rPr>
              <w:t xml:space="preserve">непрофесійній основі </w:t>
            </w:r>
            <w:r>
              <w:rPr>
                <w:sz w:val="28"/>
                <w:szCs w:val="28"/>
              </w:rPr>
              <w:t>20</w:t>
            </w:r>
            <w:r w:rsidR="00E2486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— 20</w:t>
            </w:r>
            <w:r w:rsidR="00E2486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роки”</w:t>
            </w:r>
            <w:proofErr w:type="spellEnd"/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RPr="00CD6B69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E2486C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реалізації – 01.01.2023</w:t>
            </w:r>
            <w:r w:rsidR="007E2B32">
              <w:rPr>
                <w:sz w:val="28"/>
                <w:szCs w:val="28"/>
              </w:rPr>
              <w:t xml:space="preserve"> року.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="00E2486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7E2B32" w:rsidTr="00B06D87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 </w:t>
            </w:r>
            <w:r>
              <w:rPr>
                <w:sz w:val="28"/>
                <w:szCs w:val="28"/>
              </w:rPr>
              <w:t>етап</w:t>
            </w:r>
            <w:r w:rsidR="00E2486C">
              <w:rPr>
                <w:sz w:val="28"/>
                <w:szCs w:val="28"/>
                <w:lang w:val="ru-RU"/>
              </w:rPr>
              <w:t xml:space="preserve"> (2023-2025</w:t>
            </w:r>
            <w:r>
              <w:rPr>
                <w:sz w:val="28"/>
                <w:szCs w:val="28"/>
                <w:lang w:val="ru-RU"/>
              </w:rPr>
              <w:t xml:space="preserve"> р.р.)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B62EF">
              <w:rPr>
                <w:sz w:val="32"/>
                <w:szCs w:val="32"/>
                <w:lang w:val="en-US"/>
              </w:rPr>
              <w:t>16450</w:t>
            </w:r>
            <w:proofErr w:type="gramStart"/>
            <w:r>
              <w:rPr>
                <w:sz w:val="32"/>
                <w:szCs w:val="32"/>
              </w:rPr>
              <w:t>,</w:t>
            </w:r>
            <w:r w:rsidR="009B62EF">
              <w:rPr>
                <w:sz w:val="32"/>
                <w:szCs w:val="32"/>
                <w:lang w:val="en-US"/>
              </w:rPr>
              <w:t>00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9B62EF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16450</w:t>
            </w:r>
            <w:proofErr w:type="gramStart"/>
            <w:r w:rsidR="007E2B3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  <w:proofErr w:type="spellStart"/>
            <w:r w:rsidR="007E2B32">
              <w:rPr>
                <w:sz w:val="32"/>
                <w:szCs w:val="32"/>
              </w:rPr>
              <w:t>0</w:t>
            </w:r>
            <w:proofErr w:type="spellEnd"/>
            <w:proofErr w:type="gramEnd"/>
            <w:r w:rsidR="007E2B32">
              <w:rPr>
                <w:sz w:val="32"/>
                <w:szCs w:val="32"/>
                <w:lang w:val="ru-RU"/>
              </w:rPr>
              <w:t xml:space="preserve"> </w:t>
            </w:r>
            <w:r w:rsidR="007E2B32">
              <w:rPr>
                <w:sz w:val="28"/>
                <w:szCs w:val="28"/>
                <w:lang w:val="ru-RU"/>
              </w:rPr>
              <w:t xml:space="preserve">тис. </w:t>
            </w:r>
            <w:proofErr w:type="spellStart"/>
            <w:r w:rsidR="007E2B3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="007E2B32"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проблеми, на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розв’язання якої спрямована  Програма.</w:t>
      </w:r>
    </w:p>
    <w:p w:rsidR="007E2B32" w:rsidRDefault="007E2B32" w:rsidP="007E2B32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7E2B32" w:rsidRDefault="007E2B32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Програма розроблена відповідно до Закону України «Про соціальні послуги», </w:t>
      </w:r>
      <w:r w:rsidRPr="000334B3">
        <w:rPr>
          <w:sz w:val="28"/>
          <w:szCs w:val="28"/>
        </w:rPr>
        <w:t>постанови Кабінету Міністрів України від 23.09.2020 року № 859 «</w:t>
      </w:r>
      <w:r w:rsidRPr="000334B3">
        <w:rPr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0334B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Соціально-економічна ситуація, що склалася на сучасному етапі розвитку України, складні явища у сфері економіки і фінансів зумовлюють необхідність посилення соціального захисту, перш за все, осіб з інвалідністю, людей похилого віку, дітей з інвалідністю. </w:t>
      </w:r>
    </w:p>
    <w:p w:rsidR="007E2B32" w:rsidRPr="00E36E19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кожним роком як в цілому по Україні так, і безпосередньо в  м. Прилуки збільшується кількість людей, які потребують постійної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>
        <w:rPr>
          <w:sz w:val="28"/>
          <w:szCs w:val="28"/>
        </w:rPr>
        <w:tab/>
        <w:t>Станом на 01.06.2022</w:t>
      </w:r>
      <w:r w:rsidRPr="00451698">
        <w:rPr>
          <w:sz w:val="28"/>
          <w:szCs w:val="28"/>
        </w:rPr>
        <w:t xml:space="preserve"> </w:t>
      </w:r>
      <w:r>
        <w:rPr>
          <w:sz w:val="28"/>
          <w:szCs w:val="28"/>
        </w:rPr>
        <w:t>року в місті проживає 5157 осіб з інвалідністю, в тому числі осіб</w:t>
      </w:r>
      <w:r w:rsidRPr="00451698">
        <w:rPr>
          <w:sz w:val="28"/>
          <w:szCs w:val="28"/>
        </w:rPr>
        <w:t xml:space="preserve"> з </w:t>
      </w:r>
      <w:r>
        <w:rPr>
          <w:sz w:val="28"/>
          <w:szCs w:val="28"/>
        </w:rPr>
        <w:t>інвалідністю з дитинства 1 групи - 493, дітей з інвалідністю - 257.</w:t>
      </w:r>
    </w:p>
    <w:p w:rsidR="007E2B32" w:rsidRDefault="007E2B32" w:rsidP="007E2B32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Серед загальної кількості осіб з інвалідністю 915,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(надання соціальних послуг) Прилуцької міської ради. </w:t>
      </w:r>
    </w:p>
    <w:p w:rsidR="007E2B32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покращання умов життєдіяльності осіб з обмеженими фізичними можливостями, завдяки яким особи з інвалідністю, особи поважного віку  матимуть змогу вести повноцінний спосіб життя відповідно до своїх індивідуальних потреб, через отримання догляду й сторонньої допомоги. </w:t>
      </w:r>
    </w:p>
    <w:p w:rsidR="007E2B32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«Компенсація фізичним особам, які надають соціальні послуги на </w:t>
      </w:r>
      <w:r w:rsidR="00A97593">
        <w:rPr>
          <w:sz w:val="28"/>
          <w:szCs w:val="28"/>
        </w:rPr>
        <w:t>непрофесійній основі на 2023</w:t>
      </w:r>
      <w:r>
        <w:rPr>
          <w:sz w:val="28"/>
          <w:szCs w:val="28"/>
        </w:rPr>
        <w:t xml:space="preserve"> - 20</w:t>
      </w:r>
      <w:r w:rsidR="00A97593">
        <w:rPr>
          <w:sz w:val="28"/>
          <w:szCs w:val="28"/>
        </w:rPr>
        <w:t>25</w:t>
      </w:r>
      <w:r>
        <w:rPr>
          <w:sz w:val="28"/>
          <w:szCs w:val="28"/>
        </w:rPr>
        <w:t xml:space="preserve"> роки» 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забезпечення безпеки та якості їх життя. </w:t>
      </w: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  <w:lang w:val="ru-RU"/>
        </w:rPr>
      </w:pPr>
      <w:r>
        <w:rPr>
          <w:sz w:val="36"/>
          <w:szCs w:val="36"/>
        </w:rPr>
        <w:lastRenderedPageBreak/>
        <w:t>Визначення</w:t>
      </w:r>
      <w:r>
        <w:rPr>
          <w:sz w:val="36"/>
          <w:szCs w:val="36"/>
          <w:lang w:val="ru-RU"/>
        </w:rPr>
        <w:t xml:space="preserve"> мети  П</w:t>
      </w:r>
      <w:proofErr w:type="spellStart"/>
      <w:r>
        <w:rPr>
          <w:sz w:val="36"/>
          <w:szCs w:val="36"/>
        </w:rPr>
        <w:t>рограми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  <w:lang w:val="ru-RU"/>
        </w:rPr>
        <w:t xml:space="preserve"> </w:t>
      </w:r>
    </w:p>
    <w:p w:rsidR="007E2B32" w:rsidRDefault="007E2B32" w:rsidP="007E2B32"/>
    <w:p w:rsidR="007E2B32" w:rsidRPr="0012726F" w:rsidRDefault="007E2B32" w:rsidP="007E2B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Головною метою </w:t>
      </w:r>
      <w:r w:rsidRPr="0012726F">
        <w:rPr>
          <w:b/>
          <w:sz w:val="28"/>
          <w:szCs w:val="28"/>
          <w:lang w:val="uk-UA"/>
        </w:rPr>
        <w:t>Програми є</w:t>
      </w:r>
      <w:r w:rsidRPr="0012726F">
        <w:rPr>
          <w:sz w:val="28"/>
          <w:szCs w:val="28"/>
          <w:lang w:val="uk-UA"/>
        </w:rPr>
        <w:t xml:space="preserve">  посилення соціального захисту населення, відтворення життєдіяльності, соціальної адаптації та повернення до повноцінного життя окремих осіб (осіб з інвалідністю, важкохворі, особи похилого віку,</w:t>
      </w:r>
      <w:bookmarkStart w:id="0" w:name="n14"/>
      <w:bookmarkEnd w:id="0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>,</w:t>
      </w:r>
      <w:bookmarkStart w:id="1" w:name="n15"/>
      <w:bookmarkEnd w:id="1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громадянами похилого віку з когнітивними порушеннями</w:t>
      </w:r>
      <w:bookmarkStart w:id="2" w:name="n16"/>
      <w:bookmarkEnd w:id="2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невиліковно хворими, які через порушення функцій організму не можуть самостійно пересуватися та самообслуговуватися</w:t>
      </w:r>
      <w:bookmarkStart w:id="3" w:name="n17"/>
      <w:bookmarkEnd w:id="3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дітьми, яким не встановлено інвалідність</w:t>
      </w:r>
      <w:r w:rsidRPr="0012726F">
        <w:rPr>
          <w:sz w:val="28"/>
          <w:szCs w:val="28"/>
          <w:lang w:val="uk-UA"/>
        </w:rPr>
        <w:t>), що проживають на території міста і які перебувають у складних життєвих обставинах та потребують постійної сторонньої допомоги і не здатні до самообслуговування.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Обґрунтування шляхів і засобів розв’язання проблеми, обсягів та джерел фінансування.</w:t>
      </w:r>
    </w:p>
    <w:p w:rsidR="007E2B32" w:rsidRDefault="007E2B32" w:rsidP="007E2B32">
      <w:pPr>
        <w:tabs>
          <w:tab w:val="left" w:pos="-142"/>
        </w:tabs>
        <w:ind w:left="720"/>
        <w:rPr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проведення  нарахування та виплати компенсації фізичним особам, які надають соціальні послуги </w:t>
      </w:r>
      <w:r w:rsidR="000821B1">
        <w:rPr>
          <w:sz w:val="28"/>
          <w:szCs w:val="28"/>
        </w:rPr>
        <w:t xml:space="preserve">на непрофесійній основі </w:t>
      </w:r>
      <w:r>
        <w:rPr>
          <w:sz w:val="28"/>
          <w:szCs w:val="28"/>
        </w:rPr>
        <w:t>в обсягах, визначених рішенням сесії міської ради у відповідності з вимогами діючого законодавства.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510C3">
        <w:rPr>
          <w:sz w:val="28"/>
          <w:szCs w:val="28"/>
          <w:lang w:val="uk-UA"/>
        </w:rPr>
        <w:t xml:space="preserve">Компенсація призначається </w:t>
      </w:r>
      <w:r w:rsidRPr="003510C3">
        <w:rPr>
          <w:color w:val="333333"/>
          <w:sz w:val="28"/>
          <w:szCs w:val="28"/>
          <w:lang w:val="uk-UA"/>
        </w:rPr>
        <w:t>і виплачується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13"/>
      <w:bookmarkEnd w:id="4"/>
      <w:r w:rsidRPr="003510C3">
        <w:rPr>
          <w:color w:val="333333"/>
          <w:sz w:val="28"/>
          <w:szCs w:val="28"/>
        </w:rPr>
        <w:t xml:space="preserve">особами </w:t>
      </w:r>
      <w:proofErr w:type="spellStart"/>
      <w:r w:rsidRPr="003510C3">
        <w:rPr>
          <w:color w:val="333333"/>
          <w:sz w:val="28"/>
          <w:szCs w:val="28"/>
        </w:rPr>
        <w:t>з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інвалідністю</w:t>
      </w:r>
      <w:proofErr w:type="spellEnd"/>
      <w:r w:rsidRPr="003510C3">
        <w:rPr>
          <w:color w:val="333333"/>
          <w:sz w:val="28"/>
          <w:szCs w:val="28"/>
        </w:rPr>
        <w:t xml:space="preserve"> I </w:t>
      </w:r>
      <w:proofErr w:type="spellStart"/>
      <w:r w:rsidRPr="003510C3">
        <w:rPr>
          <w:color w:val="333333"/>
          <w:sz w:val="28"/>
          <w:szCs w:val="28"/>
        </w:rPr>
        <w:t>групи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з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інвалідністю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громадянами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похилого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віку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з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когнітивними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порушеннями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невиліковно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хворими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які</w:t>
      </w:r>
      <w:proofErr w:type="spellEnd"/>
      <w:r w:rsidRPr="003510C3">
        <w:rPr>
          <w:color w:val="333333"/>
          <w:sz w:val="28"/>
          <w:szCs w:val="28"/>
        </w:rPr>
        <w:t xml:space="preserve"> через </w:t>
      </w:r>
      <w:proofErr w:type="spellStart"/>
      <w:r w:rsidRPr="003510C3">
        <w:rPr>
          <w:color w:val="333333"/>
          <w:sz w:val="28"/>
          <w:szCs w:val="28"/>
        </w:rPr>
        <w:t>порушення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функцій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організму</w:t>
      </w:r>
      <w:proofErr w:type="spellEnd"/>
      <w:r w:rsidRPr="003510C3">
        <w:rPr>
          <w:color w:val="333333"/>
          <w:sz w:val="28"/>
          <w:szCs w:val="28"/>
        </w:rPr>
        <w:t xml:space="preserve"> не </w:t>
      </w:r>
      <w:proofErr w:type="spellStart"/>
      <w:r w:rsidRPr="003510C3">
        <w:rPr>
          <w:color w:val="333333"/>
          <w:sz w:val="28"/>
          <w:szCs w:val="28"/>
        </w:rPr>
        <w:t>можуть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самостійно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пересуватися</w:t>
      </w:r>
      <w:proofErr w:type="spellEnd"/>
      <w:r w:rsidRPr="003510C3">
        <w:rPr>
          <w:color w:val="333333"/>
          <w:sz w:val="28"/>
          <w:szCs w:val="28"/>
        </w:rPr>
        <w:t xml:space="preserve"> та </w:t>
      </w:r>
      <w:proofErr w:type="spellStart"/>
      <w:r w:rsidRPr="003510C3">
        <w:rPr>
          <w:color w:val="333333"/>
          <w:sz w:val="28"/>
          <w:szCs w:val="28"/>
        </w:rPr>
        <w:t>самообслуговуватися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ким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встановлено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інвалідність</w:t>
      </w:r>
      <w:proofErr w:type="spellEnd"/>
      <w:r>
        <w:rPr>
          <w:color w:val="333333"/>
          <w:sz w:val="28"/>
          <w:szCs w:val="28"/>
          <w:lang w:val="uk-UA"/>
        </w:rPr>
        <w:t>.</w:t>
      </w:r>
    </w:p>
    <w:p w:rsidR="007E2B32" w:rsidRDefault="007E2B32" w:rsidP="007E2B32">
      <w:pPr>
        <w:pStyle w:val="a4"/>
        <w:jc w:val="both"/>
      </w:pPr>
      <w:r>
        <w:t xml:space="preserve">      Призначення компенсації зд</w:t>
      </w:r>
      <w:r w:rsidR="00CB4A6D">
        <w:t xml:space="preserve">ійснюється управлінням </w:t>
      </w:r>
      <w:r>
        <w:t>соціального захисту населення  міської ради в порядку, встановленому чинним законодавством.</w:t>
      </w:r>
    </w:p>
    <w:p w:rsidR="00CB4A6D" w:rsidRDefault="00CB4A6D" w:rsidP="007E2B32">
      <w:pPr>
        <w:pStyle w:val="a4"/>
        <w:jc w:val="both"/>
      </w:pPr>
      <w:r>
        <w:rPr>
          <w:color w:val="333333"/>
          <w:shd w:val="clear" w:color="auto" w:fill="FFFFFF"/>
        </w:rPr>
        <w:t xml:space="preserve">      Розмір компенсації відповідно до</w:t>
      </w:r>
      <w:r w:rsidRPr="00CB4A6D">
        <w:rPr>
          <w:color w:val="000000" w:themeColor="text1"/>
          <w:shd w:val="clear" w:color="auto" w:fill="FFFFFF"/>
        </w:rPr>
        <w:t> </w:t>
      </w:r>
      <w:hyperlink r:id="rId7" w:anchor="n186" w:tgtFrame="_blank" w:history="1">
        <w:r w:rsidRPr="00CB4A6D">
          <w:rPr>
            <w:rStyle w:val="a9"/>
            <w:color w:val="000000" w:themeColor="text1"/>
            <w:u w:val="none"/>
            <w:shd w:val="clear" w:color="auto" w:fill="FFFFFF"/>
          </w:rPr>
          <w:t>статті 13</w:t>
        </w:r>
      </w:hyperlink>
      <w:r>
        <w:rPr>
          <w:color w:val="333333"/>
          <w:shd w:val="clear" w:color="auto" w:fill="FFFFFF"/>
        </w:rPr>
        <w:t xml:space="preserve"> Закону України </w:t>
      </w:r>
      <w:proofErr w:type="spellStart"/>
      <w:r>
        <w:rPr>
          <w:color w:val="333333"/>
          <w:shd w:val="clear" w:color="auto" w:fill="FFFFFF"/>
        </w:rPr>
        <w:t>“Про</w:t>
      </w:r>
      <w:proofErr w:type="spellEnd"/>
      <w:r>
        <w:rPr>
          <w:color w:val="333333"/>
          <w:shd w:val="clear" w:color="auto" w:fill="FFFFFF"/>
        </w:rPr>
        <w:t xml:space="preserve"> соціальні </w:t>
      </w:r>
      <w:proofErr w:type="spellStart"/>
      <w:r>
        <w:rPr>
          <w:color w:val="333333"/>
          <w:shd w:val="clear" w:color="auto" w:fill="FFFFFF"/>
        </w:rPr>
        <w:t>послуги”</w:t>
      </w:r>
      <w:proofErr w:type="spellEnd"/>
      <w:r>
        <w:rPr>
          <w:color w:val="333333"/>
          <w:shd w:val="clear" w:color="auto" w:fill="FFFFFF"/>
        </w:rPr>
        <w:t xml:space="preserve">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один квартал, який передує місяцю, що є попереднім до місяця звернення із заявою про згоду надавати соціальні послуги з догляду на непрофесійній основі.</w:t>
      </w:r>
    </w:p>
    <w:p w:rsidR="007E2B32" w:rsidRPr="00A402D0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" w:name="n22"/>
      <w:bookmarkEnd w:id="5"/>
      <w:r w:rsidRPr="00A402D0">
        <w:rPr>
          <w:color w:val="333333"/>
          <w:sz w:val="28"/>
          <w:szCs w:val="28"/>
          <w:lang w:val="uk-UA"/>
        </w:rPr>
        <w:t>Фізична особа, яка надає соціальні послуги, отримує тільки одну компенсацію незалежно від кількості осіб, за якими вона доглядає.</w:t>
      </w:r>
    </w:p>
    <w:p w:rsidR="007E2B32" w:rsidRDefault="007E2B32" w:rsidP="007E2B32">
      <w:pPr>
        <w:pStyle w:val="a4"/>
        <w:jc w:val="both"/>
      </w:pPr>
    </w:p>
    <w:p w:rsidR="007E2B32" w:rsidRDefault="007E2B32" w:rsidP="007E2B32">
      <w:pPr>
        <w:pStyle w:val="a4"/>
        <w:jc w:val="both"/>
      </w:pPr>
    </w:p>
    <w:p w:rsidR="007E2B32" w:rsidRDefault="007E2B32" w:rsidP="007E2B32">
      <w:pPr>
        <w:pStyle w:val="a4"/>
        <w:jc w:val="both"/>
      </w:pPr>
      <w:r>
        <w:tab/>
      </w:r>
      <w:r>
        <w:tab/>
        <w:t>Головний розпорядник коштів: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t>формує на кожну особу, яка надає соціальні послуги</w:t>
      </w:r>
      <w:r w:rsidR="00CB4A6D">
        <w:t xml:space="preserve"> на непрофесійній основі</w:t>
      </w:r>
      <w:r>
        <w:t>, особову справу;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Головний розпорядник коштів до 10-го числа кожного місяця формує та подає фінансовому управлінню міської ради потребу в коштах на фінансування компенсаційних виплат в поточному місяці за надані соціальні послуги та звіт про фактичне використання коштів за попередній місяць.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Джерелом фінансування Програми є асигнування, передбачені в міському бюджеті на даний напрямок.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міського бюджету, передбачених в міському бюджеті на даний напрямок на рік, з урахуванням можливостей дохідної частини міського бюджету.</w:t>
      </w:r>
    </w:p>
    <w:p w:rsidR="007E2B32" w:rsidRPr="00804630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="00CB4A6D">
        <w:rPr>
          <w:sz w:val="28"/>
          <w:szCs w:val="28"/>
        </w:rPr>
        <w:t xml:space="preserve"> на 2023 – 2025</w:t>
      </w:r>
      <w:r w:rsidRPr="00804630">
        <w:rPr>
          <w:sz w:val="28"/>
          <w:szCs w:val="28"/>
        </w:rPr>
        <w:t xml:space="preserve"> роки. Виходячи з фактичних показників кількості </w:t>
      </w:r>
      <w:proofErr w:type="spellStart"/>
      <w:r w:rsidRPr="00804630">
        <w:rPr>
          <w:sz w:val="28"/>
          <w:szCs w:val="28"/>
        </w:rPr>
        <w:t>отримувачів</w:t>
      </w:r>
      <w:proofErr w:type="spellEnd"/>
      <w:r w:rsidRPr="00804630">
        <w:rPr>
          <w:sz w:val="28"/>
          <w:szCs w:val="28"/>
        </w:rPr>
        <w:t xml:space="preserve"> та обсягів фактичних видатків за </w:t>
      </w:r>
      <w:r w:rsidR="00CB4A6D">
        <w:rPr>
          <w:sz w:val="28"/>
          <w:szCs w:val="28"/>
        </w:rPr>
        <w:t>9 місяців 2022</w:t>
      </w:r>
      <w:r>
        <w:rPr>
          <w:sz w:val="28"/>
          <w:szCs w:val="28"/>
        </w:rPr>
        <w:t xml:space="preserve"> р.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розраховано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обсягу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які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залучити</w:t>
      </w:r>
      <w:r w:rsidRPr="00804630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 Програми</w:t>
      </w:r>
      <w:r w:rsidRPr="00804630">
        <w:rPr>
          <w:sz w:val="28"/>
          <w:szCs w:val="28"/>
        </w:rPr>
        <w:t>.</w:t>
      </w:r>
    </w:p>
    <w:p w:rsidR="007E2B32" w:rsidRDefault="007E2B32" w:rsidP="007E2B32">
      <w:pPr>
        <w:pStyle w:val="Standard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Ресурсне забезпечення міської  цільової Програми</w:t>
      </w:r>
    </w:p>
    <w:p w:rsidR="007E2B32" w:rsidRDefault="007E2B32" w:rsidP="007E2B32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</w:t>
      </w:r>
      <w:r w:rsidR="00CB4A6D">
        <w:rPr>
          <w:sz w:val="32"/>
          <w:szCs w:val="32"/>
        </w:rPr>
        <w:t xml:space="preserve"> непрофесійній основі на  2023-2025</w:t>
      </w:r>
      <w:r>
        <w:rPr>
          <w:sz w:val="32"/>
          <w:szCs w:val="32"/>
        </w:rPr>
        <w:t xml:space="preserve"> роки»</w:t>
      </w:r>
    </w:p>
    <w:p w:rsidR="007E2B32" w:rsidRDefault="007E2B32" w:rsidP="007E2B3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7E2B32" w:rsidTr="00B06D87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7E2B32" w:rsidTr="00B06D87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431E9" w:rsidRDefault="007E2B32" w:rsidP="00B06D8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</w:tr>
      <w:tr w:rsidR="007E2B32" w:rsidTr="00B06D87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2023</w:t>
            </w:r>
            <w:r w:rsidR="007E2B32">
              <w:t xml:space="preserve">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2024</w:t>
            </w:r>
            <w:r w:rsidR="007E2B32">
              <w:t xml:space="preserve">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2025 рік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657CD" w:rsidRDefault="007E2B32" w:rsidP="00B06D87">
            <w:pPr>
              <w:pStyle w:val="Standard"/>
              <w:snapToGrid w:val="0"/>
            </w:pPr>
          </w:p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ED0DFD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4670</w:t>
            </w:r>
            <w:r w:rsidR="007E2B32"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5510</w:t>
            </w:r>
            <w:r w:rsidR="007E2B32">
              <w:rPr>
                <w:sz w:val="32"/>
                <w:szCs w:val="32"/>
                <w:lang w:val="ru-RU"/>
              </w:rPr>
              <w:t>,</w:t>
            </w:r>
            <w:r w:rsidR="007E2B32"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ED0DFD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16450,00</w:t>
            </w: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державний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обласний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міський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4670</w:t>
            </w:r>
            <w:r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5510</w:t>
            </w:r>
            <w:r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6270,0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16450,00</w:t>
            </w: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7E2B3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Строки та етапи виконання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Програми.</w:t>
      </w: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u w:val="single"/>
          <w:lang w:val="ru-RU"/>
        </w:rPr>
      </w:pPr>
    </w:p>
    <w:p w:rsidR="007E2B32" w:rsidRDefault="007E2B32" w:rsidP="007E2B32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</w:t>
      </w:r>
      <w:r w:rsidR="00CB4A6D">
        <w:rPr>
          <w:bCs/>
          <w:sz w:val="28"/>
          <w:szCs w:val="28"/>
        </w:rPr>
        <w:t>ама розрахована на період з 2023 по 2025</w:t>
      </w:r>
      <w:r>
        <w:rPr>
          <w:bCs/>
          <w:sz w:val="28"/>
          <w:szCs w:val="28"/>
        </w:rPr>
        <w:t xml:space="preserve"> роки.  </w:t>
      </w:r>
    </w:p>
    <w:p w:rsidR="00CB4A6D" w:rsidRDefault="00CB4A6D" w:rsidP="007E2B32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7E2B32" w:rsidRPr="008517E6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  <w:u w:val="single"/>
          <w:lang w:val="ru-RU"/>
        </w:rPr>
      </w:pPr>
      <w:r>
        <w:rPr>
          <w:sz w:val="36"/>
          <w:szCs w:val="36"/>
        </w:rPr>
        <w:lastRenderedPageBreak/>
        <w:t>Перелік завдань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 та результативні показники.</w:t>
      </w:r>
    </w:p>
    <w:p w:rsidR="007E2B32" w:rsidRDefault="007E2B32" w:rsidP="007E2B32">
      <w:pPr>
        <w:tabs>
          <w:tab w:val="left" w:pos="-142"/>
        </w:tabs>
        <w:ind w:left="360"/>
        <w:rPr>
          <w:sz w:val="36"/>
          <w:szCs w:val="36"/>
          <w:u w:val="single"/>
          <w:lang w:val="ru-RU"/>
        </w:rPr>
      </w:pPr>
    </w:p>
    <w:p w:rsidR="007E2B32" w:rsidRDefault="007E2B32" w:rsidP="007E2B32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7E2B32" w:rsidRPr="00804630" w:rsidRDefault="007E2B32" w:rsidP="007E2B3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17E6">
        <w:rPr>
          <w:sz w:val="28"/>
          <w:szCs w:val="28"/>
        </w:rPr>
        <w:t xml:space="preserve"> - </w:t>
      </w:r>
      <w:proofErr w:type="spellStart"/>
      <w:r w:rsidRPr="008517E6">
        <w:rPr>
          <w:sz w:val="28"/>
          <w:szCs w:val="28"/>
        </w:rPr>
        <w:t>забезпечення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фізичним</w:t>
      </w:r>
      <w:proofErr w:type="spellEnd"/>
      <w:r w:rsidRPr="008517E6">
        <w:rPr>
          <w:sz w:val="28"/>
          <w:szCs w:val="28"/>
        </w:rPr>
        <w:t xml:space="preserve"> особам, </w:t>
      </w:r>
      <w:proofErr w:type="spellStart"/>
      <w:r w:rsidRPr="008517E6">
        <w:rPr>
          <w:sz w:val="28"/>
          <w:szCs w:val="28"/>
        </w:rPr>
        <w:t>які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надають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соціальні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послуги</w:t>
      </w:r>
      <w:proofErr w:type="spellEnd"/>
      <w:r w:rsidRPr="008517E6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особами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інвалідністю</w:t>
      </w:r>
      <w:proofErr w:type="spellEnd"/>
      <w:r>
        <w:rPr>
          <w:color w:val="333333"/>
          <w:sz w:val="28"/>
          <w:szCs w:val="28"/>
        </w:rPr>
        <w:t xml:space="preserve"> I </w:t>
      </w:r>
      <w:proofErr w:type="spellStart"/>
      <w:r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</w:rPr>
        <w:t>дітьми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інвалідністю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громадянами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похилого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віку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когнітивними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порушеннями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невиліковно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хворими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які</w:t>
      </w:r>
      <w:proofErr w:type="spellEnd"/>
      <w:r w:rsidRPr="003510C3">
        <w:rPr>
          <w:color w:val="333333"/>
          <w:sz w:val="28"/>
          <w:szCs w:val="28"/>
        </w:rPr>
        <w:t xml:space="preserve"> через </w:t>
      </w:r>
      <w:proofErr w:type="spellStart"/>
      <w:r w:rsidRPr="003510C3">
        <w:rPr>
          <w:color w:val="333333"/>
          <w:sz w:val="28"/>
          <w:szCs w:val="28"/>
        </w:rPr>
        <w:t>порушення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функцій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організму</w:t>
      </w:r>
      <w:proofErr w:type="spellEnd"/>
      <w:r w:rsidRPr="003510C3">
        <w:rPr>
          <w:color w:val="333333"/>
          <w:sz w:val="28"/>
          <w:szCs w:val="28"/>
        </w:rPr>
        <w:t xml:space="preserve"> не </w:t>
      </w:r>
      <w:proofErr w:type="spellStart"/>
      <w:r w:rsidRPr="003510C3">
        <w:rPr>
          <w:color w:val="333333"/>
          <w:sz w:val="28"/>
          <w:szCs w:val="28"/>
        </w:rPr>
        <w:t>можуть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самостійно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пере</w:t>
      </w:r>
      <w:r>
        <w:rPr>
          <w:color w:val="333333"/>
          <w:sz w:val="28"/>
          <w:szCs w:val="28"/>
        </w:rPr>
        <w:t>суватися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самообслуговуватися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ким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встановлено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інвалідність</w:t>
      </w:r>
      <w:proofErr w:type="spellEnd"/>
      <w:r>
        <w:rPr>
          <w:color w:val="333333"/>
          <w:sz w:val="28"/>
          <w:szCs w:val="28"/>
          <w:lang w:val="uk-UA"/>
        </w:rPr>
        <w:t>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  <w:lang w:val="ru-RU"/>
        </w:rPr>
      </w:pPr>
      <w:r w:rsidRPr="008517E6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8517E6">
        <w:rPr>
          <w:sz w:val="28"/>
          <w:szCs w:val="28"/>
          <w:lang w:val="ru-RU"/>
        </w:rPr>
        <w:t>соц</w:t>
      </w:r>
      <w:proofErr w:type="gramEnd"/>
      <w:r w:rsidRPr="008517E6">
        <w:rPr>
          <w:sz w:val="28"/>
          <w:szCs w:val="28"/>
          <w:lang w:val="ru-RU"/>
        </w:rPr>
        <w:t>іальний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захист</w:t>
      </w:r>
      <w:proofErr w:type="spellEnd"/>
      <w:r w:rsidRPr="008517E6">
        <w:rPr>
          <w:sz w:val="28"/>
          <w:szCs w:val="28"/>
          <w:lang w:val="ru-RU"/>
        </w:rPr>
        <w:t xml:space="preserve"> та </w:t>
      </w:r>
      <w:proofErr w:type="spellStart"/>
      <w:r w:rsidRPr="008517E6">
        <w:rPr>
          <w:sz w:val="28"/>
          <w:szCs w:val="28"/>
          <w:lang w:val="ru-RU"/>
        </w:rPr>
        <w:t>соціальна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підтримка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осіб</w:t>
      </w:r>
      <w:proofErr w:type="spellEnd"/>
      <w:r w:rsidRPr="008517E6">
        <w:rPr>
          <w:sz w:val="28"/>
          <w:szCs w:val="28"/>
          <w:lang w:val="ru-RU"/>
        </w:rPr>
        <w:t xml:space="preserve">, </w:t>
      </w:r>
      <w:proofErr w:type="spellStart"/>
      <w:r w:rsidRPr="008517E6">
        <w:rPr>
          <w:sz w:val="28"/>
          <w:szCs w:val="28"/>
          <w:lang w:val="ru-RU"/>
        </w:rPr>
        <w:t>які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потребують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сторонньої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допомоги</w:t>
      </w:r>
      <w:proofErr w:type="spellEnd"/>
      <w:r w:rsidRPr="008517E6">
        <w:rPr>
          <w:sz w:val="28"/>
          <w:szCs w:val="28"/>
          <w:lang w:val="ru-RU"/>
        </w:rPr>
        <w:t xml:space="preserve"> шляхом </w:t>
      </w:r>
      <w:proofErr w:type="spellStart"/>
      <w:r w:rsidRPr="008517E6">
        <w:rPr>
          <w:sz w:val="28"/>
          <w:szCs w:val="28"/>
          <w:lang w:val="ru-RU"/>
        </w:rPr>
        <w:t>надання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якісних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соціальних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послуг</w:t>
      </w:r>
      <w:proofErr w:type="spellEnd"/>
      <w:r w:rsidRPr="008517E6">
        <w:rPr>
          <w:sz w:val="28"/>
          <w:szCs w:val="28"/>
          <w:lang w:val="ru-RU"/>
        </w:rPr>
        <w:t xml:space="preserve">, </w:t>
      </w:r>
      <w:proofErr w:type="spellStart"/>
      <w:r w:rsidRPr="008517E6">
        <w:rPr>
          <w:sz w:val="28"/>
          <w:szCs w:val="28"/>
          <w:lang w:val="ru-RU"/>
        </w:rPr>
        <w:t>спрямованих</w:t>
      </w:r>
      <w:proofErr w:type="spellEnd"/>
      <w:r w:rsidRPr="008517E6">
        <w:rPr>
          <w:sz w:val="28"/>
          <w:szCs w:val="28"/>
          <w:lang w:val="ru-RU"/>
        </w:rPr>
        <w:t xml:space="preserve"> на </w:t>
      </w:r>
      <w:proofErr w:type="spellStart"/>
      <w:r w:rsidRPr="008517E6">
        <w:rPr>
          <w:sz w:val="28"/>
          <w:szCs w:val="28"/>
          <w:lang w:val="ru-RU"/>
        </w:rPr>
        <w:t>підтримку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життєдіяльності</w:t>
      </w:r>
      <w:proofErr w:type="spellEnd"/>
      <w:r w:rsidRPr="008517E6">
        <w:rPr>
          <w:sz w:val="28"/>
          <w:szCs w:val="28"/>
          <w:lang w:val="ru-RU"/>
        </w:rPr>
        <w:t>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</w:t>
      </w:r>
      <w:proofErr w:type="spellStart"/>
      <w:r w:rsidRPr="008517E6">
        <w:rPr>
          <w:sz w:val="28"/>
          <w:szCs w:val="28"/>
          <w:lang w:val="ru-RU"/>
        </w:rPr>
        <w:t>створення</w:t>
      </w:r>
      <w:proofErr w:type="spellEnd"/>
      <w:r w:rsidRPr="008517E6">
        <w:rPr>
          <w:sz w:val="28"/>
          <w:szCs w:val="28"/>
          <w:lang w:val="ru-RU"/>
        </w:rPr>
        <w:t xml:space="preserve"> умов для </w:t>
      </w:r>
      <w:proofErr w:type="spellStart"/>
      <w:r w:rsidRPr="008517E6">
        <w:rPr>
          <w:sz w:val="28"/>
          <w:szCs w:val="28"/>
          <w:lang w:val="ru-RU"/>
        </w:rPr>
        <w:t>самостійного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розв’язання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існуючих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життєвих</w:t>
      </w:r>
      <w:proofErr w:type="spellEnd"/>
      <w:r w:rsidRPr="008517E6">
        <w:rPr>
          <w:sz w:val="28"/>
          <w:szCs w:val="28"/>
          <w:lang w:val="ru-RU"/>
        </w:rPr>
        <w:t xml:space="preserve"> проблем.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соціальними послугами громадян похилого віку, осіб з інвалідністю, хворих, які не здатні до самообслуговування і потребують сторонньої допомоги, фізичними особами протягом дії цільової Програми.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  <w:gridCol w:w="1701"/>
      </w:tblGrid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осіб, які звернуться за призначенням  компенсації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Pr="00804630" w:rsidRDefault="00CB4A6D" w:rsidP="00B0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Pr="00804630" w:rsidRDefault="00CB4A6D" w:rsidP="00B06D8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 особам з інвалідністю 1 групи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804630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>
              <w:rPr>
                <w:color w:val="333333"/>
                <w:szCs w:val="24"/>
              </w:rPr>
              <w:t>дітям</w:t>
            </w:r>
            <w:r w:rsidRPr="00804630">
              <w:rPr>
                <w:color w:val="333333"/>
                <w:szCs w:val="24"/>
              </w:rPr>
              <w:t xml:space="preserve"> з інвалідністю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1915B0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особам </w:t>
            </w:r>
            <w:r w:rsidRPr="00951749">
              <w:rPr>
                <w:color w:val="333333"/>
                <w:szCs w:val="24"/>
              </w:rPr>
              <w:t>похилого віку з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51749">
              <w:rPr>
                <w:color w:val="333333"/>
                <w:szCs w:val="24"/>
              </w:rPr>
              <w:t>когнітивними порушеннями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 w:rsidRPr="00951749">
              <w:rPr>
                <w:color w:val="333333"/>
                <w:szCs w:val="24"/>
              </w:rPr>
              <w:t>невиліковно хворими, які через порушення функцій організму не можуть самостійно пересуватися та самообслуговуватися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Cs w:val="24"/>
              </w:rPr>
              <w:t>дітям</w:t>
            </w:r>
            <w:r w:rsidRPr="00951749">
              <w:rPr>
                <w:color w:val="333333"/>
                <w:szCs w:val="24"/>
              </w:rPr>
              <w:t>, яким не встановлено інвалідність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Pr="001915B0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Програми соціальні послуги буде надано близько </w:t>
      </w:r>
      <w:r w:rsidR="00A92FF9">
        <w:rPr>
          <w:color w:val="000000"/>
          <w:sz w:val="28"/>
          <w:szCs w:val="28"/>
          <w:shd w:val="clear" w:color="auto" w:fill="FFFFFF"/>
        </w:rPr>
        <w:t xml:space="preserve"> 500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 числа осіб з інвалідністю та людей похилого віку,  які потребують постійної сторонньої допомоги</w:t>
      </w:r>
      <w:r>
        <w:rPr>
          <w:color w:val="000000"/>
          <w:sz w:val="28"/>
          <w:szCs w:val="28"/>
          <w:shd w:val="clear" w:color="auto" w:fill="FFFFFF"/>
        </w:rPr>
        <w:t xml:space="preserve"> згідно з постановою К</w:t>
      </w:r>
      <w:r w:rsidR="0073298A">
        <w:rPr>
          <w:color w:val="000000"/>
          <w:sz w:val="28"/>
          <w:szCs w:val="28"/>
          <w:shd w:val="clear" w:color="auto" w:fill="FFFFFF"/>
        </w:rPr>
        <w:t xml:space="preserve">абінету Міністрів України від 23.09.2020 р. №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73298A">
        <w:rPr>
          <w:color w:val="000000"/>
          <w:sz w:val="28"/>
          <w:szCs w:val="28"/>
          <w:shd w:val="clear" w:color="auto" w:fill="FFFFFF"/>
        </w:rPr>
        <w:t>59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 w:rsidR="0073298A">
        <w:rPr>
          <w:sz w:val="28"/>
          <w:szCs w:val="28"/>
        </w:rPr>
        <w:t>розрахована на період до 2025</w:t>
      </w:r>
      <w:r>
        <w:rPr>
          <w:sz w:val="28"/>
          <w:szCs w:val="28"/>
        </w:rPr>
        <w:t xml:space="preserve"> року, її виконання дасть змогу посилити соціальний захист людей, які потребують сторонньої допомоги, особливо тих, які проживають далеко від родичів і не перебувають на обліку в територіальному центрі соціального обслуговування </w:t>
      </w:r>
      <w:r w:rsidRPr="004A6669">
        <w:rPr>
          <w:sz w:val="28"/>
          <w:szCs w:val="28"/>
        </w:rPr>
        <w:t>(</w:t>
      </w:r>
      <w:r>
        <w:rPr>
          <w:sz w:val="28"/>
          <w:szCs w:val="28"/>
        </w:rPr>
        <w:t>надання соціальних послуг</w:t>
      </w:r>
      <w:r w:rsidRPr="004A6669">
        <w:rPr>
          <w:sz w:val="28"/>
          <w:szCs w:val="28"/>
        </w:rPr>
        <w:t>)</w:t>
      </w:r>
      <w:r>
        <w:rPr>
          <w:sz w:val="28"/>
          <w:szCs w:val="28"/>
        </w:rPr>
        <w:t xml:space="preserve">. Сприятиме покращанню умов їх проживання, врахуванню </w:t>
      </w:r>
      <w:r>
        <w:rPr>
          <w:sz w:val="28"/>
          <w:szCs w:val="28"/>
        </w:rPr>
        <w:lastRenderedPageBreak/>
        <w:t>індивідуальних життєвих потреб людей, що потрапили у складні життєві обставини і потребують соціальних послуг.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7E2B32" w:rsidSect="008431E9">
          <w:headerReference w:type="even" r:id="rId8"/>
          <w:headerReference w:type="default" r:id="rId9"/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docGrid w:linePitch="360"/>
        </w:sectPr>
      </w:pPr>
    </w:p>
    <w:p w:rsidR="007E2B32" w:rsidRDefault="007E2B32" w:rsidP="007E2B32">
      <w:pPr>
        <w:sectPr w:rsidR="007E2B32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7E2B3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Напрями діяльності та заходи Програми.</w:t>
      </w:r>
    </w:p>
    <w:p w:rsidR="007E2B32" w:rsidRDefault="007E2B32" w:rsidP="007E2B32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2B32" w:rsidRDefault="007E2B32" w:rsidP="007E2B3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міської цільової Програми</w:t>
      </w:r>
    </w:p>
    <w:p w:rsidR="007E2B32" w:rsidRDefault="007E2B32" w:rsidP="007E2B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«Компенсація фізичним особам, які надають соціальні послуги </w:t>
      </w:r>
      <w:r w:rsidR="0073298A">
        <w:rPr>
          <w:sz w:val="32"/>
          <w:szCs w:val="32"/>
        </w:rPr>
        <w:t>на непрофесійній основі на 2023-2025</w:t>
      </w:r>
      <w:r>
        <w:rPr>
          <w:sz w:val="32"/>
          <w:szCs w:val="32"/>
        </w:rPr>
        <w:t xml:space="preserve"> роки»</w:t>
      </w: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90"/>
        <w:gridCol w:w="2285"/>
        <w:gridCol w:w="1417"/>
        <w:gridCol w:w="1842"/>
        <w:gridCol w:w="1701"/>
        <w:gridCol w:w="993"/>
        <w:gridCol w:w="969"/>
        <w:gridCol w:w="6"/>
        <w:gridCol w:w="1009"/>
        <w:gridCol w:w="991"/>
        <w:gridCol w:w="1155"/>
      </w:tblGrid>
      <w:tr w:rsidR="007E2B32" w:rsidTr="00B06D87">
        <w:trPr>
          <w:trHeight w:val="54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№</w:t>
            </w:r>
          </w:p>
          <w:p w:rsidR="007E2B32" w:rsidRDefault="007E2B32" w:rsidP="00B06D87">
            <w:pPr>
              <w:pStyle w:val="Standard"/>
            </w:pPr>
            <w:r>
              <w:t>п/п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Напрями</w:t>
            </w:r>
          </w:p>
          <w:p w:rsidR="007E2B32" w:rsidRDefault="007E2B32" w:rsidP="00B06D87">
            <w:pPr>
              <w:pStyle w:val="Standard"/>
            </w:pPr>
            <w:r>
              <w:t>діяльності</w:t>
            </w:r>
          </w:p>
          <w:p w:rsidR="007E2B32" w:rsidRDefault="007E2B32" w:rsidP="00B06D87">
            <w:pPr>
              <w:pStyle w:val="Standard"/>
            </w:pPr>
            <w:r>
              <w:t>(пріоритетні</w:t>
            </w:r>
          </w:p>
          <w:p w:rsidR="007E2B32" w:rsidRDefault="007E2B32" w:rsidP="00B06D87">
            <w:pPr>
              <w:pStyle w:val="Standard"/>
            </w:pPr>
            <w:r>
              <w:t>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Перелік</w:t>
            </w:r>
          </w:p>
          <w:p w:rsidR="007E2B32" w:rsidRDefault="007E2B32" w:rsidP="00B06D87">
            <w:pPr>
              <w:pStyle w:val="Standard"/>
            </w:pPr>
            <w:r>
              <w:t>заходів</w:t>
            </w:r>
          </w:p>
          <w:p w:rsidR="007E2B32" w:rsidRDefault="007E2B32" w:rsidP="00B06D87">
            <w:pPr>
              <w:pStyle w:val="Standard"/>
            </w:pPr>
            <w:r>
              <w:t>Програми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Строки</w:t>
            </w:r>
          </w:p>
          <w:p w:rsidR="007E2B32" w:rsidRDefault="007E2B32" w:rsidP="00B06D87">
            <w:pPr>
              <w:pStyle w:val="Standard"/>
            </w:pPr>
            <w:r>
              <w:t>виконання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Джерела</w:t>
            </w:r>
          </w:p>
          <w:p w:rsidR="007E2B32" w:rsidRDefault="007E2B32" w:rsidP="00B06D87">
            <w:pPr>
              <w:pStyle w:val="Standard"/>
            </w:pPr>
            <w:r>
              <w:t>фінансування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7E2B32" w:rsidRDefault="007E2B32" w:rsidP="00B06D87">
            <w:pPr>
              <w:pStyle w:val="Standard"/>
            </w:pPr>
            <w:r>
              <w:t>тис. грн. у тому числі:</w:t>
            </w:r>
          </w:p>
        </w:tc>
      </w:tr>
      <w:tr w:rsidR="007E2B32" w:rsidTr="00B06D87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2023</w:t>
            </w:r>
            <w:r w:rsidR="007E2B32">
              <w:t xml:space="preserve"> 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2024</w:t>
            </w:r>
            <w:r w:rsidR="007E2B32">
              <w:t>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2025р.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rPr>
          <w:trHeight w:val="23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Упровадження в дію виконання завдань міської цільової Програми </w:t>
            </w:r>
          </w:p>
          <w:p w:rsidR="007E2B32" w:rsidRDefault="007E2B32" w:rsidP="00B06D87">
            <w:pPr>
              <w:pStyle w:val="Standard"/>
            </w:pPr>
            <w:r>
              <w:t xml:space="preserve">«Компенсація фізичним особам, які надають соціальні послуги </w:t>
            </w:r>
            <w:r w:rsidR="0073298A">
              <w:t>на непрофесійній основі на 2023-2025</w:t>
            </w:r>
            <w:r>
              <w:t xml:space="preserve"> 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D2403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ради, 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4670</w:t>
            </w:r>
            <w:r w:rsidR="007E2B32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5510</w:t>
            </w:r>
            <w:r w:rsidR="007E2B32">
              <w:rPr>
                <w:szCs w:val="24"/>
                <w:lang w:val="ru-RU"/>
              </w:rPr>
              <w:t>,</w:t>
            </w:r>
            <w:r w:rsidR="007E2B3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6270,00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7E2B32" w:rsidTr="00B06D87">
        <w:trPr>
          <w:trHeight w:val="2325"/>
        </w:trPr>
        <w:tc>
          <w:tcPr>
            <w:tcW w:w="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Забезпечити постійне та належне наповнення  інформацією про </w:t>
            </w:r>
            <w:proofErr w:type="spellStart"/>
            <w:r>
              <w:rPr>
                <w:sz w:val="22"/>
                <w:szCs w:val="22"/>
              </w:rPr>
              <w:t>отримувачів</w:t>
            </w:r>
            <w:proofErr w:type="spellEnd"/>
            <w:r>
              <w:rPr>
                <w:sz w:val="22"/>
                <w:szCs w:val="22"/>
              </w:rPr>
              <w:t xml:space="preserve"> компенсації програмно-технологічного комплексу  (АСОПД/КОМТЕХ)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rPr>
          <w:trHeight w:val="254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Здійснювати моніторинг, планування і прогнозування потреби у коштах щодо виплати компенсації за надання соціальних послуг</w:t>
            </w:r>
            <w:r w:rsidR="0073298A">
              <w:t xml:space="preserve"> 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rPr>
          <w:trHeight w:val="13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Надавати консультативну допомогу з питань оформлення компенсаційної виплати за надання соціальних послуг </w:t>
            </w:r>
            <w:r w:rsidR="0073298A">
              <w:t>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</w:t>
            </w:r>
          </w:p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осіб, які потребують постійного стороннього догляду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та виплата компенсації особам, які надають соціальні послуги</w:t>
            </w:r>
            <w:r w:rsidR="00AF3D89">
              <w:rPr>
                <w:sz w:val="24"/>
                <w:szCs w:val="24"/>
              </w:rPr>
              <w:t xml:space="preserve"> 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ради,</w:t>
            </w:r>
            <w:r>
              <w:rPr>
                <w:sz w:val="28"/>
                <w:szCs w:val="28"/>
              </w:rPr>
              <w:t xml:space="preserve"> </w:t>
            </w:r>
            <w:r>
              <w:t>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4670</w:t>
            </w:r>
            <w:r w:rsidR="007E2B32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5510</w:t>
            </w:r>
            <w:r w:rsidR="007E2B32">
              <w:rPr>
                <w:szCs w:val="24"/>
                <w:lang w:val="ru-RU"/>
              </w:rPr>
              <w:t>,</w:t>
            </w:r>
            <w:r w:rsidR="007E2B3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6270,00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7E2B32" w:rsidTr="00B06D8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якістю надання соціальних послуг особами, що отримують компенсацію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F3D89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t>Не потребує</w:t>
            </w:r>
          </w:p>
        </w:tc>
      </w:tr>
    </w:tbl>
    <w:p w:rsidR="007E2B32" w:rsidRDefault="007E2B32" w:rsidP="007E2B32">
      <w:pPr>
        <w:sectPr w:rsidR="007E2B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851" w:bottom="284" w:left="851" w:header="720" w:footer="720" w:gutter="0"/>
          <w:pgNumType w:start="8"/>
          <w:cols w:space="720"/>
          <w:docGrid w:linePitch="360"/>
        </w:sectPr>
      </w:pPr>
    </w:p>
    <w:p w:rsidR="007E2B32" w:rsidRPr="00CF025A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36"/>
          <w:szCs w:val="36"/>
        </w:rPr>
      </w:pPr>
      <w:r w:rsidRPr="00CF025A">
        <w:rPr>
          <w:sz w:val="36"/>
          <w:szCs w:val="36"/>
        </w:rPr>
        <w:lastRenderedPageBreak/>
        <w:t xml:space="preserve">Координація та контроль за ходом виконання </w:t>
      </w:r>
      <w:r>
        <w:rPr>
          <w:sz w:val="36"/>
          <w:szCs w:val="36"/>
        </w:rPr>
        <w:t xml:space="preserve"> </w:t>
      </w:r>
      <w:r w:rsidRPr="00CF025A">
        <w:rPr>
          <w:sz w:val="36"/>
          <w:szCs w:val="36"/>
        </w:rPr>
        <w:t>Програми.</w:t>
      </w:r>
    </w:p>
    <w:p w:rsidR="007E2B32" w:rsidRPr="00CF025A" w:rsidRDefault="007E2B32" w:rsidP="007E2B32">
      <w:pPr>
        <w:tabs>
          <w:tab w:val="left" w:pos="-142"/>
        </w:tabs>
        <w:jc w:val="center"/>
        <w:rPr>
          <w:sz w:val="36"/>
          <w:szCs w:val="36"/>
        </w:rPr>
      </w:pPr>
    </w:p>
    <w:p w:rsidR="007E2B32" w:rsidRDefault="007E2B32" w:rsidP="007E2B3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Функції з координації виконання заходів 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покладаються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управління</w:t>
      </w:r>
      <w:r w:rsidR="00AF3D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захисту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ради. Про </w:t>
      </w:r>
      <w:proofErr w:type="spellStart"/>
      <w:r>
        <w:rPr>
          <w:sz w:val="28"/>
          <w:szCs w:val="28"/>
          <w:lang w:val="ru-RU"/>
        </w:rPr>
        <w:t>хід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5A0F3A">
        <w:rPr>
          <w:sz w:val="28"/>
          <w:szCs w:val="28"/>
        </w:rPr>
        <w:t>реалізації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5A0F3A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управління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іального захисту населення міської ради щорічно у першому кварталі року, наступному за звітним, звітує перед виконавчим комітетом міської ради. </w:t>
      </w:r>
      <w:r>
        <w:rPr>
          <w:sz w:val="28"/>
          <w:szCs w:val="28"/>
          <w:lang w:val="ru-RU"/>
        </w:rPr>
        <w:t xml:space="preserve">    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7E2B32" w:rsidRPr="007B0389" w:rsidRDefault="007E2B32" w:rsidP="0060500D">
      <w:pPr>
        <w:tabs>
          <w:tab w:val="left" w:pos="-142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ab/>
      </w:r>
      <w:r w:rsidRPr="0060500D">
        <w:rPr>
          <w:sz w:val="28"/>
          <w:szCs w:val="28"/>
        </w:rPr>
        <w:t xml:space="preserve"> </w:t>
      </w:r>
      <w:r w:rsidR="0060500D">
        <w:rPr>
          <w:color w:val="333333"/>
          <w:sz w:val="28"/>
          <w:szCs w:val="28"/>
          <w:shd w:val="clear" w:color="auto" w:fill="FFFFFF"/>
        </w:rPr>
        <w:t>Управління соціального захисту населення міської ради, що призначає та виплачує компенсацію, здійснює</w:t>
      </w:r>
      <w:r w:rsidR="0060500D" w:rsidRPr="0060500D">
        <w:rPr>
          <w:color w:val="333333"/>
          <w:sz w:val="28"/>
          <w:szCs w:val="28"/>
          <w:shd w:val="clear" w:color="auto" w:fill="FFFFFF"/>
        </w:rPr>
        <w:t xml:space="preserve"> </w:t>
      </w:r>
      <w:r w:rsidR="00692486">
        <w:rPr>
          <w:color w:val="333333"/>
          <w:sz w:val="28"/>
          <w:szCs w:val="28"/>
          <w:shd w:val="clear" w:color="auto" w:fill="FFFFFF"/>
        </w:rPr>
        <w:t xml:space="preserve">за необхідності </w:t>
      </w:r>
      <w:r w:rsidR="0060500D" w:rsidRPr="0060500D">
        <w:rPr>
          <w:color w:val="333333"/>
          <w:sz w:val="28"/>
          <w:szCs w:val="28"/>
          <w:shd w:val="clear" w:color="auto" w:fill="FFFFFF"/>
        </w:rPr>
        <w:t>контроль за наданням соціальних послуг фізичними особами, які надають соціальні послуги</w:t>
      </w:r>
      <w:r w:rsidR="0060500D">
        <w:rPr>
          <w:color w:val="333333"/>
          <w:sz w:val="28"/>
          <w:szCs w:val="28"/>
          <w:shd w:val="clear" w:color="auto" w:fill="FFFFFF"/>
        </w:rPr>
        <w:t xml:space="preserve"> на непрофесійній основі шляхом обстеження </w:t>
      </w:r>
      <w:r w:rsidR="007B0389">
        <w:rPr>
          <w:color w:val="333333"/>
          <w:sz w:val="28"/>
          <w:szCs w:val="28"/>
          <w:shd w:val="clear" w:color="auto" w:fill="FFFFFF"/>
        </w:rPr>
        <w:t xml:space="preserve">за місцем проживання </w:t>
      </w:r>
      <w:r w:rsidR="007B0389" w:rsidRPr="007B0389">
        <w:rPr>
          <w:color w:val="333333"/>
          <w:sz w:val="28"/>
          <w:szCs w:val="28"/>
          <w:shd w:val="clear" w:color="auto" w:fill="FFFFFF"/>
        </w:rPr>
        <w:t>особи, яка потребує надання соціальних послуг</w:t>
      </w:r>
      <w:r w:rsidR="007B0389">
        <w:rPr>
          <w:color w:val="333333"/>
          <w:sz w:val="28"/>
          <w:szCs w:val="28"/>
          <w:shd w:val="clear" w:color="auto" w:fill="FFFFFF"/>
        </w:rPr>
        <w:t xml:space="preserve"> </w:t>
      </w:r>
      <w:r w:rsidR="0060500D" w:rsidRPr="007B0389">
        <w:rPr>
          <w:color w:val="333333"/>
          <w:sz w:val="28"/>
          <w:szCs w:val="28"/>
          <w:shd w:val="clear" w:color="auto" w:fill="FFFFFF"/>
        </w:rPr>
        <w:t xml:space="preserve">та складання відповідного акту.  </w:t>
      </w:r>
    </w:p>
    <w:p w:rsidR="0060500D" w:rsidRPr="0060500D" w:rsidRDefault="0060500D" w:rsidP="0060500D">
      <w:pPr>
        <w:tabs>
          <w:tab w:val="left" w:pos="-142"/>
        </w:tabs>
        <w:jc w:val="both"/>
        <w:rPr>
          <w:sz w:val="28"/>
          <w:szCs w:val="28"/>
        </w:rPr>
      </w:pPr>
    </w:p>
    <w:p w:rsidR="007E2B32" w:rsidRDefault="007E2B32" w:rsidP="007E2B32">
      <w:pPr>
        <w:ind w:firstLine="720"/>
        <w:jc w:val="both"/>
      </w:pPr>
    </w:p>
    <w:p w:rsidR="007E2B32" w:rsidRPr="0060500D" w:rsidRDefault="007E2B32" w:rsidP="007E2B32">
      <w:pPr>
        <w:rPr>
          <w:sz w:val="28"/>
          <w:szCs w:val="28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Г.П.Малиш</w:t>
      </w:r>
      <w:proofErr w:type="spellEnd"/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СХВАЛЕНО       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___________2022 року №____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Керуюча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______________Т.М.Малоголова</w:t>
      </w:r>
      <w:proofErr w:type="spellEnd"/>
    </w:p>
    <w:p w:rsidR="00CD7642" w:rsidRDefault="00CD7642"/>
    <w:sectPr w:rsidR="00CD7642" w:rsidSect="00CE41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5D" w:rsidRDefault="006C1C5D" w:rsidP="0086586C">
      <w:r>
        <w:separator/>
      </w:r>
    </w:p>
  </w:endnote>
  <w:endnote w:type="continuationSeparator" w:id="0">
    <w:p w:rsidR="006C1C5D" w:rsidRDefault="006C1C5D" w:rsidP="008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700B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700B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700B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5D" w:rsidRDefault="006C1C5D" w:rsidP="0086586C">
      <w:r>
        <w:separator/>
      </w:r>
    </w:p>
  </w:footnote>
  <w:footnote w:type="continuationSeparator" w:id="0">
    <w:p w:rsidR="006C1C5D" w:rsidRDefault="006C1C5D" w:rsidP="008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864D2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24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974" w:rsidRDefault="00700B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864D2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247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0B37">
      <w:rPr>
        <w:rStyle w:val="a3"/>
        <w:noProof/>
      </w:rPr>
      <w:t>8</w:t>
    </w:r>
    <w:r>
      <w:rPr>
        <w:rStyle w:val="a3"/>
      </w:rPr>
      <w:fldChar w:fldCharType="end"/>
    </w:r>
  </w:p>
  <w:p w:rsidR="00711974" w:rsidRDefault="00700B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700B3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4864D2">
    <w:pPr>
      <w:pStyle w:val="a6"/>
      <w:jc w:val="center"/>
    </w:pPr>
    <w:r>
      <w:rPr>
        <w:rStyle w:val="a3"/>
      </w:rPr>
      <w:fldChar w:fldCharType="begin"/>
    </w:r>
    <w:r w:rsidR="0096247C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00B37">
      <w:rPr>
        <w:rStyle w:val="a3"/>
        <w:noProof/>
      </w:rPr>
      <w:t>10</w:t>
    </w:r>
    <w:r>
      <w:rPr>
        <w:rStyle w:val="a3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700B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41"/>
    <w:rsid w:val="000821B1"/>
    <w:rsid w:val="0008325C"/>
    <w:rsid w:val="00106E1F"/>
    <w:rsid w:val="002204E5"/>
    <w:rsid w:val="004005DE"/>
    <w:rsid w:val="004864D2"/>
    <w:rsid w:val="00570079"/>
    <w:rsid w:val="005B431E"/>
    <w:rsid w:val="005C0CCF"/>
    <w:rsid w:val="0060500D"/>
    <w:rsid w:val="00624240"/>
    <w:rsid w:val="00632E6B"/>
    <w:rsid w:val="00692486"/>
    <w:rsid w:val="006A6182"/>
    <w:rsid w:val="006B33B0"/>
    <w:rsid w:val="006C1C5D"/>
    <w:rsid w:val="00700B37"/>
    <w:rsid w:val="00711F16"/>
    <w:rsid w:val="0073298A"/>
    <w:rsid w:val="007B0389"/>
    <w:rsid w:val="007E2B32"/>
    <w:rsid w:val="0086586C"/>
    <w:rsid w:val="00885837"/>
    <w:rsid w:val="00910F71"/>
    <w:rsid w:val="0096247C"/>
    <w:rsid w:val="009A4370"/>
    <w:rsid w:val="009B62EF"/>
    <w:rsid w:val="00A272F9"/>
    <w:rsid w:val="00A70C00"/>
    <w:rsid w:val="00A92FF9"/>
    <w:rsid w:val="00A97593"/>
    <w:rsid w:val="00AC5E34"/>
    <w:rsid w:val="00AD2403"/>
    <w:rsid w:val="00AE5543"/>
    <w:rsid w:val="00AF3D89"/>
    <w:rsid w:val="00B459EE"/>
    <w:rsid w:val="00C03493"/>
    <w:rsid w:val="00CB4A6D"/>
    <w:rsid w:val="00CD7642"/>
    <w:rsid w:val="00CE19F8"/>
    <w:rsid w:val="00D2209A"/>
    <w:rsid w:val="00E2486C"/>
    <w:rsid w:val="00E5661C"/>
    <w:rsid w:val="00ED0DFD"/>
    <w:rsid w:val="00F264C9"/>
    <w:rsid w:val="00F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B32"/>
  </w:style>
  <w:style w:type="paragraph" w:styleId="a4">
    <w:name w:val="Body Text"/>
    <w:basedOn w:val="a"/>
    <w:link w:val="a5"/>
    <w:rsid w:val="007E2B32"/>
    <w:rPr>
      <w:sz w:val="28"/>
    </w:rPr>
  </w:style>
  <w:style w:type="character" w:customStyle="1" w:styleId="a5">
    <w:name w:val="Основной текст Знак"/>
    <w:basedOn w:val="a0"/>
    <w:link w:val="a4"/>
    <w:rsid w:val="007E2B3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rsid w:val="007E2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2B3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7E2B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7E2B32"/>
    <w:pPr>
      <w:suppressLineNumbers/>
    </w:pPr>
  </w:style>
  <w:style w:type="paragraph" w:customStyle="1" w:styleId="rvps2">
    <w:name w:val="rvps2"/>
    <w:basedOn w:val="a"/>
    <w:rsid w:val="007E2B32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B4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71-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9908</Words>
  <Characters>5649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2022-11-25T10:29:00Z</cp:lastPrinted>
  <dcterms:created xsi:type="dcterms:W3CDTF">2022-11-07T12:36:00Z</dcterms:created>
  <dcterms:modified xsi:type="dcterms:W3CDTF">2022-11-29T11:08:00Z</dcterms:modified>
</cp:coreProperties>
</file>